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dd4a69de94f1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9827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ĐURE PILARA, SLAVONSKI BROD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2.195.723,00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2.451.833,14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2.220.535,77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2.643.803,95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24.812,77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191.970,81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3.215,58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3.313,70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3.215,58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3.313,70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28.028,35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195.284,51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696,7</w:t>
            </w:r>
          </w:p>
        </w:tc>
      </w:tr>
    </w:tbl>
    <w:p>
      <w:pPr>
        <w:spacing w:before="0" w:after="0"/>
      </w:pPr>
    </w:p>
    <w:p>
      <w:r>
        <w:t xml:space="preserve">Manjak prihoda i primitka je odraz je promjene knjiženja plaća od 01.01.2025., kojim se ukida konto kontinuiranih rashoda (193). U 2025. godini proknjiženo je trinaest rashoda za plaće financirane od strane MZOM (plaća za prosinac 2024. godine i svih dvanaest mjeseci 2025. godine), a samo dvanaest prihoda (plaća za prosinac 2024. i jedanaest isplaćenih plaća u 2025. godini). Prihod za plaću obračunatu za prosinac 2025. godine priznaje se nakon isplate plaće u siječnju 2026. godine.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2.195.723,00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2.451.833,14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Povećanje ostvarenih prihoda je najvećim dijelom uzrokovano povećanjem plaća i materijalnih prava zaposlenika u 2025. godini financiranih od strane MZOM.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62,9</w:t>
            </w:r>
          </w:p>
        </w:tc>
      </w:tr>
    </w:tbl>
    <w:p>
      <w:pPr>
        <w:spacing w:before="0" w:after="0"/>
      </w:pPr>
    </w:p>
    <w:p>
      <w:r>
        <w:t xml:space="preserve">Manje ostvarenje zbog manjeg broja potrebnih trajnih udžbenika čiju nabavu financira MZOM.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13.564,13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33.488,20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246,9</w:t>
            </w:r>
          </w:p>
        </w:tc>
      </w:tr>
    </w:tbl>
    <w:p>
      <w:pPr>
        <w:spacing w:before="0" w:after="0"/>
      </w:pPr>
    </w:p>
    <w:p>
      <w:r>
        <w:t xml:space="preserve">2024. godine ostvarena je samo jedna uplata za projekt Asset, dok su u 2025. godini uplaćene završne isplate od 11.065,00 EUR i 5.532,00 EUR za Asset i završna uplata prvog ciklusa Akreditacije od 16.891,20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12.239,06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5.015,64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41,0</w:t>
            </w:r>
          </w:p>
        </w:tc>
      </w:tr>
    </w:tbl>
    <w:p>
      <w:pPr>
        <w:spacing w:before="0" w:after="0"/>
      </w:pPr>
    </w:p>
    <w:p>
      <w:r>
        <w:t xml:space="preserve">U 2024. godini je na 65267 Prihodi s naslova osiguranja, ref. štete knjižena veća uplata odšteta od Uniqa osiguranja dd uzrokovanih olujama dok u 2025. godini takvih isplata nije bilo, a ostvaren je i manji iznos uplata od roditelja za npr. kazalište.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50,5</w:t>
            </w:r>
          </w:p>
        </w:tc>
      </w:tr>
    </w:tbl>
    <w:p>
      <w:pPr>
        <w:spacing w:before="0" w:after="0"/>
      </w:pPr>
    </w:p>
    <w:p>
      <w:r>
        <w:t xml:space="preserve">U 2024. godini naplaćen je prihod za organizacijske troškove mobilnosti za goste iz Slovenije, u 2025. godini takvih prihoda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76,9</w:t>
            </w:r>
          </w:p>
        </w:tc>
      </w:tr>
    </w:tbl>
    <w:p>
      <w:pPr>
        <w:spacing w:before="0" w:after="0"/>
      </w:pPr>
    </w:p>
    <w:p>
      <w:r>
        <w:t xml:space="preserve">Manji broj ostvarenih izleta preko turističkih agencija 2025. godine u odnosu na 2024. godinu pa je samim time i manji broj uplaćenih donacija za dnevnice voditeljima.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203.865,85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259.563,64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r>
        <w:t xml:space="preserve">Povećanje najvećim dijelom uzrokovano povećanjem plaća pomoćnicima u nastavi i većim brojem zaposlenih pomoćnika u odnosu na prethodnu godinu. Od 2025. godine pomoćnici u nastavi ostaju u radnom odnosu u srpnju i kolovozu te im je i za te mjesece isplaćena puna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150,2</w:t>
            </w:r>
          </w:p>
        </w:tc>
      </w:tr>
    </w:tbl>
    <w:p>
      <w:pPr>
        <w:spacing w:before="0" w:after="0"/>
      </w:pPr>
    </w:p>
    <w:p>
      <w:r>
        <w:t xml:space="preserve">U 2025. godini je kupljen printer, knjige za školsku knjižnicu, dva projektora za učionice u matičnoj i dva projektora za učionice u područnoj školi dok su 2024. godine kupljene samo električne škare, fotokopirni uređaj i jedno računalo. (šifra 422).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1.905.012,95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2.278.377,17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r>
        <w:t xml:space="preserve">Povećanje rashoda je najvećim dijelom uzrokovano ukidanjem kontinuiranih rashoda s 01.01.2025. pa su u 2025. knjiženi rashodi za plaću prosinac 2024., godine i dvanaest rashoda 2025. godine, a u 2024.  prosinac 2023. godine i jedanaest rashoda 2024. godine. Zbog istog razloga je došlo i do povećanja na šifri 313 Doprinosi na plaće. Isto tako došlo je do povećanja plaća i materijalnih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26.409,86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43.473,73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164,6</w:t>
            </w:r>
          </w:p>
        </w:tc>
      </w:tr>
    </w:tbl>
    <w:p>
      <w:pPr>
        <w:spacing w:before="0" w:after="0"/>
      </w:pPr>
    </w:p>
    <w:p>
      <w:r>
        <w:t xml:space="preserve">Znatno povećanje u odnosu na prethodnu godinu zbog većeg broja ostvarenih inozemnih mobilnosti u sklopu Erasmus+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28.474,04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45.652,58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160,3</w:t>
            </w:r>
          </w:p>
        </w:tc>
      </w:tr>
    </w:tbl>
    <w:p>
      <w:pPr>
        <w:spacing w:before="0" w:after="0"/>
      </w:pPr>
    </w:p>
    <w:p>
      <w:r>
        <w:t xml:space="preserve">Povećanje zbog promjene kod načina obračuna mjesnog prijevoza. S obzirom da je gradski prijevoz besplatan cijeli iznos isplaćenog neto prijevoza zaposlenicima, obračunava se i isplaćuje kao oporezivi primitak.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496,2</w:t>
            </w:r>
          </w:p>
        </w:tc>
      </w:tr>
    </w:tbl>
    <w:p>
      <w:pPr>
        <w:spacing w:before="0" w:after="0"/>
      </w:pPr>
    </w:p>
    <w:p>
      <w:r>
        <w:t xml:space="preserve">U 2025. godini kupljena je nova radna odjeća i obuća za sve spremačice u područnoj i matičnoj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3.957,78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216,1</w:t>
            </w:r>
          </w:p>
        </w:tc>
      </w:tr>
    </w:tbl>
    <w:p>
      <w:pPr>
        <w:spacing w:before="0" w:after="0"/>
      </w:pPr>
    </w:p>
    <w:p>
      <w:r>
        <w:t xml:space="preserve">Početkom 2025. godine obavljeni su sistematski pregledi za veći broj zaposlenika u odnosu na prethodnu godinu, a od 2025. godine uvedene su i nove obvezne analize vode što je povećalo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24.812,77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191.970,81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773,7</w:t>
            </w:r>
          </w:p>
        </w:tc>
      </w:tr>
    </w:tbl>
    <w:p>
      <w:pPr>
        <w:spacing w:before="0" w:after="0"/>
      </w:pPr>
    </w:p>
    <w:p>
      <w:r>
        <w:t xml:space="preserve">Manjak prihoda poslovanja odraz je promjene knjiženja plaća od 01.01.2025., kojim se ukida konto kontinuiranih rashoda. U 2025. godini knjiženo je trinaest rashoda za plaće financirane od strane MZOM (plaća za prosinac 2024. godine i svih dvanaest mjeseci 2025. godine), a samo dvanaest prihoda (plaća za prosinac 2024. i jedanaest isplaćenih plaća u 2025. godini).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174.917,44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146.889,09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84,0</w:t>
            </w:r>
          </w:p>
        </w:tc>
      </w:tr>
    </w:tbl>
    <w:p>
      <w:pPr>
        <w:spacing w:before="0" w:after="0"/>
      </w:pPr>
    </w:p>
    <w:p>
      <w:r>
        <w:t xml:space="preserve">Smanjenje jer je i prethodna godina završila manjkom prihoda poslovanja.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184.482,36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5796,7</w:t>
            </w:r>
          </w:p>
        </w:tc>
      </w:tr>
    </w:tbl>
    <w:p>
      <w:pPr>
        <w:spacing w:before="0" w:after="0"/>
      </w:pPr>
    </w:p>
    <w:p>
      <w:r>
        <w:t xml:space="preserve">Odstupanje je nastalo zbog promjene načina knjiženja od 01.01.2025. prema novom Pravilniku o računovodstvu. Prihod od MZOM za plaće mora prethodno imati evidentirano potraživanje i obračunate prihode. Tako da se na kontu 96361 (i 16361) nalazi obračunata plaća za mjesec prosinac, a na kontu 96381 (16381) potraživanja i obračunati prihodi za tekuće pomoći od projekta Akreditacija.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28.028,35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195.284,51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696,7</w:t>
            </w:r>
          </w:p>
        </w:tc>
      </w:tr>
    </w:tbl>
    <w:p>
      <w:pPr>
        <w:spacing w:before="0" w:after="0"/>
      </w:pPr>
    </w:p>
    <w:p>
      <w:r>
        <w:t xml:space="preserve">Škola ne ostavaruje prihode od nefinancijske imovine (7) stoga je ukupan manjak prihoda zbroj manjka prihoda poslovanja i manjka prihoda od nefinancijske imovine.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42.667,28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14.638,93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34,3</w:t>
            </w:r>
          </w:p>
        </w:tc>
      </w:tr>
    </w:tbl>
    <w:p>
      <w:pPr>
        <w:spacing w:before="0" w:after="0"/>
      </w:pPr>
    </w:p>
    <w:p>
      <w:r>
        <w:t xml:space="preserve">Smanjenje u odnosu na prethodno razbolje jer je i prethodna godina završila s manjkom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184.482,36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5796,7</w:t>
            </w:r>
          </w:p>
        </w:tc>
      </w:tr>
    </w:tbl>
    <w:p>
      <w:pPr>
        <w:spacing w:before="0" w:after="0"/>
      </w:pPr>
    </w:p>
    <w:p>
      <w:r>
        <w:t xml:space="preserve">Promjena načina knjiženja prema novom Pravilniku o računovodstvu. Od 01.012.2025. na 96361 (16361) se nalazi obračunata plaća i materijalna prava za mjesec prosinac, a na 96381 (16381) obračunati rashodi po EU projektu Akreditacija.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156.473,68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Podskupina 193 je ukinuta s datumom 01.01.2025. novim Pravilnikom o računovodstvu te je saldo prenesen na rashode.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182.121,01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Promjena načina knjiženja od 01.01.2025. prema novom Pravilniku o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156.473,68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Podskupina je ukinuta s datumom 01.01.2025. novim Pravilnikom o računovodstvu te je saldo prenesen na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33.951,32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Uplaćeni predujam od Eu projekta Akreditacija 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14.638,93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-180.645,58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-1234,0</w:t>
            </w:r>
          </w:p>
        </w:tc>
      </w:tr>
    </w:tbl>
    <w:p>
      <w:pPr>
        <w:spacing w:before="0" w:after="0"/>
      </w:pPr>
    </w:p>
    <w:tbl>
      <w:tblPr>
        <w:tblStyle w:val="TableGrid"/>
        <w:tblW w:w="5000" w:type="pct"/>
      </w:tblPr>
      <w:tblGrid>
        <w:gridCol w:w="2406"/>
        <w:gridCol w:w="2406"/>
        <w:gridCol w:w="2406"/>
        <w:gridCol w:w="2406"/>
      </w:tblGrid>
      <w:tr>
        <w:trPr>
          <w:trHeight w:val="542" w:hRule="atLeast"/>
        </w:trPr>
        <w:tc>
          <w:tcPr>
            <w:tcW w:w="1249" w:type="pct"/>
            <w:vAlign w:val="center"/>
          </w:tcPr>
          <w:p>
            <w:r>
              <w:t xml:space="preserve">Rezultat na dan 31.12.2025</w:t>
            </w:r>
          </w:p>
        </w:tc>
        <w:tc>
          <w:tcPr>
            <w:tcW w:w="1249" w:type="pct"/>
            <w:vAlign w:val="center"/>
          </w:tcPr>
          <w:p>
            <w:r>
              <w:t xml:space="preserve">Izvor 0 MZOM</w:t>
            </w:r>
          </w:p>
        </w:tc>
        <w:tc>
          <w:tcPr>
            <w:tcW w:w="1249" w:type="pct"/>
            <w:vAlign w:val="center"/>
          </w:tcPr>
          <w:p>
            <w:r>
              <w:t xml:space="preserve">Izvor 1 Osnivač</w:t>
            </w:r>
          </w:p>
        </w:tc>
        <w:tc>
          <w:tcPr>
            <w:tcW w:w="1250" w:type="pct"/>
            <w:vAlign w:val="center"/>
          </w:tcPr>
          <w:p>
            <w:r>
              <w:t xml:space="preserve">Izvor 2 Vlastiti</w:t>
            </w:r>
          </w:p>
        </w:tc>
      </w:tr>
      <w:tr>
        <w:trPr>
          <w:trHeight w:val="542" w:hRule="atLeast"/>
        </w:trPr>
        <w:tc>
          <w:tcPr>
            <w:tcW w:w="1249" w:type="pct"/>
            <w:vAlign w:val="center"/>
          </w:tcPr>
          <w:p>
            <w:r>
              <w:t xml:space="preserve">92211 Višak prihoda poslovanja</w:t>
            </w:r>
          </w:p>
        </w:tc>
        <w:tc>
          <w:tcPr>
            <w:tcW w:w="1249" w:type="pct"/>
            <w:vAlign w:val="center"/>
          </w:tcPr>
          <w:p>
            <w:r>
              <w:t xml:space="preserve">-98.965,03</w:t>
            </w:r>
          </w:p>
        </w:tc>
        <w:tc>
          <w:tcPr>
            <w:tcW w:w="1249" w:type="pct"/>
            <w:vAlign w:val="center"/>
          </w:tcPr>
          <w:p>
            <w:r>
              <w:t xml:space="preserve">-98.583,56</w:t>
            </w:r>
          </w:p>
        </w:tc>
        <w:tc>
          <w:tcPr>
            <w:tcW w:w="1250" w:type="pct"/>
            <w:vAlign w:val="center"/>
          </w:tcPr>
          <w:p>
            <w:r>
              <w:t xml:space="preserve">-5.307,48</w:t>
            </w:r>
          </w:p>
        </w:tc>
      </w:tr>
      <w:tr>
        <w:trPr>
          <w:trHeight w:val="542" w:hRule="atLeast"/>
        </w:trPr>
        <w:tc>
          <w:tcPr>
            <w:tcW w:w="1249" w:type="pct"/>
            <w:vAlign w:val="center"/>
          </w:tcPr>
          <w:p>
            <w:r>
              <w:t xml:space="preserve">92212 Višak prihoda nefin.imovine</w:t>
            </w:r>
          </w:p>
        </w:tc>
        <w:tc>
          <w:tcPr>
            <w:tcW w:w="1249" w:type="pct"/>
            <w:vAlign w:val="center"/>
          </w:tcPr>
          <w:p>
            <w:r>
              <w:t xml:space="preserve">0,00</w:t>
            </w:r>
          </w:p>
        </w:tc>
        <w:tc>
          <w:tcPr>
            <w:tcW w:w="1249" w:type="pct"/>
            <w:vAlign w:val="center"/>
          </w:tcPr>
          <w:p>
            <w:r>
              <w:t xml:space="preserve">0,00</w:t>
            </w:r>
          </w:p>
        </w:tc>
        <w:tc>
          <w:tcPr>
            <w:tcW w:w="1250" w:type="pct"/>
            <w:vAlign w:val="center"/>
          </w:tcPr>
          <w:p>
            <w:r>
              <w:t xml:space="preserve">0,00</w:t>
            </w:r>
          </w:p>
        </w:tc>
      </w:tr>
      <w:tr>
        <w:trPr>
          <w:trHeight w:val="542" w:hRule="atLeast"/>
        </w:trPr>
        <w:tc>
          <w:tcPr>
            <w:tcW w:w="1249" w:type="pct"/>
            <w:vAlign w:val="center"/>
          </w:tcPr>
          <w:p>
            <w:r>
              <w:t xml:space="preserve">92221 Manjak prihoda poslovanja</w:t>
            </w:r>
          </w:p>
        </w:tc>
        <w:tc>
          <w:tcPr>
            <w:tcW w:w="1249" w:type="pct"/>
            <w:vAlign w:val="center"/>
          </w:tcPr>
          <w:p>
            <w:r>
              <w:t xml:space="preserve">5.449,12</w:t>
            </w:r>
          </w:p>
        </w:tc>
        <w:tc>
          <w:tcPr>
            <w:tcW w:w="1249" w:type="pct"/>
            <w:vAlign w:val="center"/>
          </w:tcPr>
          <w:p>
            <w:r>
              <w:t xml:space="preserve">16.648,09</w:t>
            </w:r>
          </w:p>
        </w:tc>
        <w:tc>
          <w:tcPr>
            <w:tcW w:w="1250" w:type="pct"/>
            <w:vAlign w:val="center"/>
          </w:tcPr>
          <w:p>
            <w:r>
              <w:t xml:space="preserve">33.869,77</w:t>
            </w:r>
          </w:p>
        </w:tc>
      </w:tr>
      <w:tr>
        <w:trPr>
          <w:trHeight w:val="542" w:hRule="atLeast"/>
        </w:trPr>
        <w:tc>
          <w:tcPr>
            <w:tcW w:w="1249" w:type="pct"/>
            <w:vAlign w:val="center"/>
          </w:tcPr>
          <w:p>
            <w:r>
              <w:t xml:space="preserve">92222 Manjak prihoda nefin.imovine</w:t>
            </w:r>
          </w:p>
        </w:tc>
        <w:tc>
          <w:tcPr>
            <w:tcW w:w="1249" w:type="pct"/>
            <w:vAlign w:val="center"/>
          </w:tcPr>
          <w:p>
            <w:r>
              <w:t xml:space="preserve">82.347,73</w:t>
            </w:r>
          </w:p>
        </w:tc>
        <w:tc>
          <w:tcPr>
            <w:tcW w:w="1249" w:type="pct"/>
            <w:vAlign w:val="center"/>
          </w:tcPr>
          <w:p>
            <w:r>
              <w:t xml:space="preserve">104.050,07</w:t>
            </w:r>
          </w:p>
        </w:tc>
        <w:tc>
          <w:tcPr>
            <w:tcW w:w="1250" w:type="pct"/>
            <w:vAlign w:val="center"/>
          </w:tcPr>
          <w:p>
            <w:r>
              <w:t xml:space="preserve">-54.147,64</w:t>
            </w:r>
          </w:p>
        </w:tc>
      </w:tr>
      <w:tr>
        <w:trPr>
          <w:trHeight w:val="542" w:hRule="atLeast"/>
        </w:trPr>
        <w:tc>
          <w:tcPr>
            <w:tcW w:w="1249" w:type="pct"/>
            <w:vAlign w:val="center"/>
          </w:tcPr>
          <w:p>
            <w:r>
              <w:t xml:space="preserve">922 Višak/manjak prihoda</w:t>
            </w:r>
          </w:p>
        </w:tc>
        <w:tc>
          <w:tcPr>
            <w:tcW w:w="1249" w:type="pct"/>
            <w:vAlign w:val="center"/>
          </w:tcPr>
          <w:p>
            <w:r>
              <w:t xml:space="preserve">11.168,18</w:t>
            </w:r>
          </w:p>
        </w:tc>
        <w:tc>
          <w:tcPr>
            <w:tcW w:w="1249" w:type="pct"/>
            <w:vAlign w:val="center"/>
          </w:tcPr>
          <w:p>
            <w:r>
              <w:t xml:space="preserve">-22.114,60</w:t>
            </w:r>
          </w:p>
        </w:tc>
        <w:tc>
          <w:tcPr>
            <w:tcW w:w="1250" w:type="pct"/>
            <w:vAlign w:val="center"/>
          </w:tcPr>
          <w:p>
            <w:r>
              <w:t xml:space="preserve">25.585,35</w:t>
            </w:r>
          </w:p>
        </w:tc>
      </w:tr>
    </w:tbl>
    <w:p>
      <w:r>
        <w:t xml:space="preserve"> </w:t>
      </w:r>
    </w:p>
    <w:p>
      <w:r>
        <w:t xml:space="preserve">Rezultat za prijenos u 2026. iznosi -180.645,58 EUR i odraz je promjena prema novom Pravilniku o računovodstvu (ukidanja konta 193 prilikom obračuna plaća).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129.034,58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128.936,46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</w:t>
            </w:r>
          </w:p>
        </w:tc>
      </w:tr>
    </w:tbl>
    <w:p>
      <w:pPr>
        <w:spacing w:before="0" w:after="0"/>
      </w:pPr>
    </w:p>
    <w:p>
      <w:r>
        <w:t xml:space="preserve">Provedena obvezna korekcija rezultata za iznos kapitalnih prihoda i smanjenje manjka nefinancijske imovine u iznosu od 3.313,70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42.271,00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ugovoren iznos Erasumus+ projekta Akreditacija drugi ciklus, potpisan u 2025.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2.223.751,35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2.647.117,65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</w:tbl>
    <w:p>
      <w:pPr>
        <w:spacing w:before="0" w:after="0"/>
      </w:pPr>
    </w:p>
    <w:p>
      <w:r>
        <w:t xml:space="preserve">Svi rashodi (razred 3 i razred 4) ostvareni u 2025. godini iskazani su na jednoj funkciji 09 - Obrazovanje.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i osnovno obrazovanje (šifre 0911+0912)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2.126.549,78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2.533.563,02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Iznos od 2.533.563,02 EUR  je zbroj svih rashoda povezanih uz obrazovanje, ali bez troškova prehrane djece.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97.201,57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113.554,63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Ukupni troškovi prehrane djece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36.182,16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novom Pravilniku o računodvostvu ispravak vrijednosti dugotrajne nefinancijske imovine provodi se preko promjena u vrijednosti imovine što je i učinjeno. Proknjižen je ispravak vrijednosti građevinskih objekata te postrojenja i opreme prema propisanim stopama i evidentiran na kontu 91511.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nema dospjelih nepodmirenih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201.679,16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se najvećim dijelom odnose na obračunate plaće i materijalna prava za mjesec prosinac koja dospijevaju i  isplaćuju se u siječnju. Ostatak su materijalni rashodi (režijski troškovi za prosinac, prijevoz zaposlenika... ) s dospijećem u siječnju:</w:t>
      </w:r>
    </w:p>
    <w:p>
      <w:r>
        <w:t xml:space="preserve">231 - obveze za zaposlene u iznosu 180.381,06 EUR </w:t>
      </w:r>
    </w:p>
    <w:p>
      <w:r>
        <w:t xml:space="preserve">232 - obveze za materijalne rashode iznosa 21.298,10 EUR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Kao prihodi su priznate i proknjižene (167211/63811) realizirane završne uplate u 2025. godini po projektima Asset i Akreditacija 1 koji su započeli u ranijim godinama.</w:t>
      </w:r>
    </w:p>
    <w:p>
      <w:r>
        <w:t xml:space="preserve">Rashodi su ukupno obračunati prema svim zaprimljenim računima dobavljača (svi projekti).</w:t>
      </w:r>
    </w:p>
    <w:p>
      <w:r>
        <w:t xml:space="preserve">U izvanbilančnoj evidenciji (99171/99671) nalazi se cijeli iznos potpisanog ugovora za Akreditaciju 2 za koji je uplaćen predujam 80% ugovorenog iznosa u 2025. godini. Uplaćeni predujam je proknjižen na konta 167211/27521.</w:t>
      </w:r>
    </w:p>
    <w:p>
      <w:r>
        <w:t xml:space="preserve">Prema Okružnici Ministarstva financija i Dopuni Upute za rač. evidentiranje EU sredstava, na  kontima16381/96381 evidentirana su potraživanja i obračunati prihodi po projektu Akreditacija 2. po kojem će prihod biti priznat temeljem odobrenog završnog izvještaja u 2026. godini.</w:t>
      </w:r>
    </w:p>
    <w:p>
      <w:r>
        <w:t xml:space="preserve">Prema gore navedenoj uputi podaci se ispunjavaju samo za tekuće razdoblje.</w:t>
      </w:r>
    </w:p>
    <w:p>
      <w:r>
        <w:t xml:space="preserve">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eb4fc5cf414941" /></Relationships>
</file>